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2cc" w:val="clear"/>
        <w:rPr>
          <w:b w:val="1"/>
          <w:sz w:val="20"/>
          <w:szCs w:val="20"/>
        </w:rPr>
      </w:pPr>
      <w:r w:rsidDel="00000000" w:rsidR="00000000" w:rsidRPr="00000000">
        <w:rPr>
          <w:b w:val="1"/>
          <w:sz w:val="20"/>
          <w:szCs w:val="20"/>
          <w:rtl w:val="0"/>
        </w:rPr>
        <w:t xml:space="preserve">Ajustes para las evaluaciones </w:t>
      </w:r>
      <w:r w:rsidDel="00000000" w:rsidR="00000000" w:rsidRPr="00000000">
        <w:rPr>
          <w:b w:val="1"/>
          <w:sz w:val="20"/>
          <w:szCs w:val="20"/>
          <w:shd w:fill="fff2cc" w:val="clear"/>
          <w:rtl w:val="0"/>
        </w:rPr>
        <w:t xml:space="preserve">de ingreso:</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A continuación se exponen todos los ajustes que se ofrecen para todas las personas que postulen al Cupo Persona con Discapacidad de la USACH. Es necesario destacar que, si bien, existen una serie de ajustes diferenciados, estos son mediados por los y las profesionales del equipo quienes, con el apoyo de los y las postulantes llegan a una mediación adecuada para cada situación particular.</w:t>
      </w:r>
    </w:p>
    <w:tbl>
      <w:tblPr>
        <w:tblStyle w:val="Table1"/>
        <w:tblW w:w="138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261"/>
        <w:gridCol w:w="1406"/>
        <w:gridCol w:w="1647"/>
        <w:gridCol w:w="2109"/>
        <w:gridCol w:w="1689"/>
        <w:gridCol w:w="1836"/>
        <w:gridCol w:w="2110"/>
        <w:tblGridChange w:id="0">
          <w:tblGrid>
            <w:gridCol w:w="1800"/>
            <w:gridCol w:w="1261"/>
            <w:gridCol w:w="1406"/>
            <w:gridCol w:w="1647"/>
            <w:gridCol w:w="2109"/>
            <w:gridCol w:w="1689"/>
            <w:gridCol w:w="1836"/>
            <w:gridCol w:w="2110"/>
          </w:tblGrid>
        </w:tblGridChange>
      </w:tblGrid>
      <w:tr>
        <w:trPr>
          <w:cantSplit w:val="0"/>
          <w:tblHeader w:val="0"/>
        </w:trPr>
        <w:tc>
          <w:tcPr>
            <w:shd w:fill="fff2cc" w:val="clear"/>
          </w:tcPr>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Personas con ceguera</w:t>
            </w:r>
          </w:p>
        </w:tc>
        <w:tc>
          <w:tcPr>
            <w:shd w:fill="fff2cc" w:val="clear"/>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Personas con baja visión</w:t>
            </w:r>
          </w:p>
        </w:tc>
        <w:tc>
          <w:tcPr>
            <w:shd w:fill="fff2cc" w:val="clear"/>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Personas Sordas</w:t>
            </w:r>
          </w:p>
        </w:tc>
        <w:tc>
          <w:tcPr>
            <w:shd w:fill="fff2cc" w:val="clear"/>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Personas con discapacidad física</w:t>
            </w:r>
          </w:p>
        </w:tc>
        <w:tc>
          <w:tcPr>
            <w:shd w:fill="fff2cc" w:val="clear"/>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Personas del espectro autista</w:t>
            </w:r>
          </w:p>
        </w:tc>
        <w:tc>
          <w:tcPr>
            <w:shd w:fill="fff2cc"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Personas con trastorno ansioso y/o del ánimo</w:t>
            </w:r>
          </w:p>
        </w:tc>
        <w:tc>
          <w:tcPr>
            <w:shd w:fill="fff2cc" w:val="clear"/>
          </w:tcPr>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Personas con discapacidad psíquica</w:t>
            </w:r>
          </w:p>
        </w:tc>
        <w:tc>
          <w:tcPr>
            <w:shd w:fill="fff2cc" w:val="clear"/>
          </w:tcPr>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Personas con dificultades específicas del aprendizaje (DEA) y Personas con trastorno de déficit atencional</w:t>
            </w:r>
          </w:p>
        </w:tc>
      </w:tr>
      <w:tr>
        <w:trPr>
          <w:cantSplit w:val="0"/>
          <w:tblHeader w:val="0"/>
        </w:trPr>
        <w:tc>
          <w:tcPr/>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50% tiempo adicional</w:t>
            </w:r>
          </w:p>
        </w:tc>
        <w:tc>
          <w:tcPr/>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Macrotipo (14 a 30 puntos)</w:t>
            </w:r>
          </w:p>
        </w:tc>
        <w:tc>
          <w:tcPr/>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50% tiempo adicional</w:t>
            </w:r>
          </w:p>
        </w:tc>
        <w:tc>
          <w:tcPr/>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Espacio accesible</w:t>
            </w:r>
          </w:p>
        </w:tc>
        <w:tc>
          <w:tcPr/>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Elementos sensoriales antiestrés. Ejemplo: pelotas antiestrés</w:t>
              <w:br w:type="textWrapping"/>
            </w:r>
          </w:p>
        </w:tc>
        <w:tc>
          <w:tcPr/>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20 minutos más del tiempo total</w:t>
            </w:r>
          </w:p>
        </w:tc>
        <w:tc>
          <w:tcPr/>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50% tiempo adicional</w:t>
            </w:r>
          </w:p>
        </w:tc>
        <w:tc>
          <w:tcPr/>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50% tiempo adicional</w:t>
            </w:r>
          </w:p>
        </w:tc>
      </w:tr>
      <w:tr>
        <w:trPr>
          <w:cantSplit w:val="0"/>
          <w:tblHeader w:val="0"/>
        </w:trPr>
        <w:tc>
          <w:tcPr/>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Uso de PC personal con lector de pantalla</w:t>
              <w:br w:type="textWrapping"/>
            </w:r>
          </w:p>
        </w:tc>
        <w:tc>
          <w:tcPr/>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Uso de PC personal con lector de pantalla</w:t>
            </w:r>
          </w:p>
        </w:tc>
        <w:tc>
          <w:tcPr/>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Intérprete facilitado por el DFII</w:t>
            </w:r>
          </w:p>
        </w:tc>
        <w:tc>
          <w:tcPr/>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50% tiempo adicional</w:t>
            </w:r>
          </w:p>
        </w:tc>
        <w:tc>
          <w:tcPr/>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Uso de tapones o audífonos con cancelación de sonido.</w:t>
            </w:r>
          </w:p>
        </w:tc>
        <w:tc>
          <w:tcPr/>
          <w:p w:rsidR="00000000" w:rsidDel="00000000" w:rsidP="00000000" w:rsidRDefault="00000000" w:rsidRPr="00000000" w14:paraId="00000025">
            <w:pPr>
              <w:rPr>
                <w:sz w:val="20"/>
                <w:szCs w:val="20"/>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Uso de láminas táctiles</w:t>
            </w:r>
          </w:p>
        </w:tc>
        <w:tc>
          <w:tcPr/>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Descripción de imágenes en Word.</w:t>
            </w:r>
          </w:p>
        </w:tc>
        <w:tc>
          <w:tcPr/>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Adecuación léxico instruccional*</w:t>
              <w:br w:type="textWrapping"/>
            </w:r>
          </w:p>
        </w:tc>
        <w:tc>
          <w:tcPr/>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Uso de PC personal  </w:t>
            </w:r>
          </w:p>
        </w:tc>
        <w:tc>
          <w:tcPr/>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20 minutos más del tiempo total</w:t>
            </w:r>
          </w:p>
        </w:tc>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Descripción de láminas táctiles en Word.</w:t>
              <w:br w:type="textWrapping"/>
            </w:r>
          </w:p>
        </w:tc>
        <w:tc>
          <w:tcPr/>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Ingreso de implementos personales como regletas.</w:t>
              <w:br w:type="textWrapping"/>
            </w:r>
          </w:p>
        </w:tc>
        <w:tc>
          <w:tcPr/>
          <w:p w:rsidR="00000000" w:rsidDel="00000000" w:rsidP="00000000" w:rsidRDefault="00000000" w:rsidRPr="00000000" w14:paraId="00000040">
            <w:pPr>
              <w:rPr>
                <w:sz w:val="20"/>
                <w:szCs w:val="20"/>
              </w:rPr>
            </w:pPr>
            <w:r w:rsidDel="00000000" w:rsidR="00000000" w:rsidRPr="00000000">
              <w:rPr>
                <w:rtl w:val="0"/>
              </w:rPr>
            </w:r>
          </w:p>
        </w:tc>
        <w:tc>
          <w:tcPr/>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rPr>
                <w:sz w:val="20"/>
                <w:szCs w:val="20"/>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rtl w:val="0"/>
              </w:rPr>
            </w:r>
          </w:p>
        </w:tc>
        <w:tc>
          <w:tcPr/>
          <w:p w:rsidR="00000000" w:rsidDel="00000000" w:rsidP="00000000" w:rsidRDefault="00000000" w:rsidRPr="00000000" w14:paraId="00000046">
            <w:pPr>
              <w:rPr>
                <w:sz w:val="20"/>
                <w:szCs w:val="20"/>
              </w:rPr>
            </w:pPr>
            <w:r w:rsidDel="00000000" w:rsidR="00000000" w:rsidRPr="00000000">
              <w:rPr>
                <w:rtl w:val="0"/>
              </w:rPr>
            </w:r>
          </w:p>
        </w:tc>
      </w:tr>
    </w:tbl>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 Redacción con estructura léxica accesible para Personas Sordas.</w:t>
      </w:r>
    </w:p>
    <w:sectPr>
      <w:pgSz w:h="12240" w:w="15840" w:orient="landscape"/>
      <w:pgMar w:bottom="1276" w:top="56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0064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06508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6SQfV8X8ARnqjYSjNMB/8mhdA==">AMUW2mX3QEjySsPk8VALOT02UxbkUgx/LFFHSrCktWWtPe+Re5RWPHt3TSClZvFLptKPLVW9OVLfiicmtYdfQaSh41jwmNXbIbpI0r4r0CbTK75Pb0iXH8E=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2022-09-07T20:31:00Z</dcterms:created>
  <dc:creator>Elena Herrera</dc:creator>
</cp:coreProperties>
</file>